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1D" w:rsidRPr="00AC1CBE" w:rsidRDefault="005C32A5">
      <w:pPr>
        <w:suppressAutoHyphens/>
        <w:autoSpaceDE w:val="0"/>
        <w:autoSpaceDN w:val="0"/>
        <w:ind w:leftChars="-100" w:left="-210"/>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t>別記</w:t>
      </w:r>
      <w:r w:rsidRPr="00AC1CBE">
        <w:rPr>
          <w:rFonts w:ascii="ＭＳ 明朝" w:eastAsia="ＭＳ 明朝" w:hAnsi="ＭＳ 明朝" w:cs="Times New Roman" w:hint="eastAsia"/>
          <w:kern w:val="0"/>
          <w:sz w:val="20"/>
          <w:szCs w:val="20"/>
        </w:rPr>
        <w:t>様式</w:t>
      </w:r>
      <w:r w:rsidRPr="00AC1CBE">
        <w:rPr>
          <w:rFonts w:ascii="ＭＳ 明朝" w:eastAsia="ＭＳ 明朝" w:hAnsi="ＭＳ 明朝" w:cs="Times New Roman"/>
          <w:kern w:val="0"/>
          <w:sz w:val="20"/>
          <w:szCs w:val="20"/>
        </w:rPr>
        <w:t>第</w:t>
      </w:r>
      <w:r w:rsidRPr="00AC1CBE">
        <w:rPr>
          <w:rFonts w:ascii="ＭＳ 明朝" w:eastAsia="ＭＳ 明朝" w:hAnsi="ＭＳ 明朝" w:cs="Times New Roman" w:hint="eastAsia"/>
          <w:kern w:val="0"/>
          <w:sz w:val="20"/>
          <w:szCs w:val="20"/>
        </w:rPr>
        <w:t>２</w:t>
      </w:r>
      <w:r w:rsidRPr="00AC1CBE">
        <w:rPr>
          <w:rFonts w:ascii="ＭＳ 明朝" w:eastAsia="ＭＳ 明朝" w:hAnsi="ＭＳ 明朝" w:cs="Times New Roman"/>
          <w:kern w:val="0"/>
          <w:sz w:val="20"/>
          <w:szCs w:val="20"/>
        </w:rPr>
        <w:t>号（</w:t>
      </w:r>
      <w:r w:rsidRPr="00AC1CBE">
        <w:rPr>
          <w:rFonts w:ascii="ＭＳ 明朝" w:eastAsia="ＭＳ 明朝" w:hAnsi="ＭＳ 明朝" w:cs="ＭＳ 明朝"/>
          <w:kern w:val="0"/>
          <w:sz w:val="20"/>
          <w:szCs w:val="20"/>
        </w:rPr>
        <w:t>第</w:t>
      </w:r>
      <w:r w:rsidRPr="00AC1CBE">
        <w:rPr>
          <w:rFonts w:ascii="ＭＳ 明朝" w:eastAsia="ＭＳ 明朝" w:hAnsi="ＭＳ 明朝" w:cs="ＭＳ 明朝" w:hint="eastAsia"/>
          <w:kern w:val="0"/>
          <w:sz w:val="20"/>
          <w:szCs w:val="20"/>
        </w:rPr>
        <w:t>９</w:t>
      </w:r>
      <w:r w:rsidRPr="00AC1CBE">
        <w:rPr>
          <w:rFonts w:ascii="ＭＳ 明朝" w:eastAsia="ＭＳ 明朝" w:hAnsi="ＭＳ 明朝" w:cs="ＭＳ 明朝"/>
          <w:kern w:val="0"/>
          <w:sz w:val="20"/>
          <w:szCs w:val="20"/>
        </w:rPr>
        <w:t>条関係</w:t>
      </w:r>
      <w:r w:rsidRPr="00AC1CBE">
        <w:rPr>
          <w:rFonts w:ascii="ＭＳ 明朝" w:eastAsia="ＭＳ 明朝" w:hAnsi="ＭＳ 明朝" w:cs="Times New Roman"/>
          <w:kern w:val="0"/>
          <w:sz w:val="20"/>
          <w:szCs w:val="20"/>
        </w:rPr>
        <w:t>）</w:t>
      </w:r>
      <w:r w:rsidRPr="00AC1CBE">
        <w:rPr>
          <w:rFonts w:ascii="ＭＳ 明朝" w:eastAsia="ＭＳ 明朝" w:hAnsi="ＭＳ 明朝" w:cs="Times New Roman" w:hint="eastAsia"/>
          <w:kern w:val="0"/>
          <w:sz w:val="20"/>
          <w:szCs w:val="20"/>
        </w:rPr>
        <w:t>その１</w:t>
      </w:r>
    </w:p>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4"/>
          <w:szCs w:val="24"/>
        </w:rPr>
      </w:pPr>
      <w:r w:rsidRPr="00AC1CBE">
        <w:rPr>
          <w:rFonts w:ascii="ＭＳ 明朝" w:eastAsia="ＭＳ 明朝" w:hAnsi="ＭＳ 明朝" w:cs="Times New Roman" w:hint="eastAsia"/>
          <w:kern w:val="0"/>
          <w:sz w:val="24"/>
          <w:szCs w:val="24"/>
        </w:rPr>
        <w:t>建築設備工事監理状況調書</w:t>
      </w:r>
    </w:p>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（地階を除く３以上の階数を有する建築物で延べ面積５００㎡を超えるもの。）</w:t>
      </w:r>
    </w:p>
    <w:tbl>
      <w:tblPr>
        <w:tblW w:w="9864" w:type="dxa"/>
        <w:tblLayout w:type="fixed"/>
        <w:tblCellMar>
          <w:left w:w="99" w:type="dxa"/>
          <w:right w:w="99" w:type="dxa"/>
        </w:tblCellMar>
        <w:tblLook w:val="04A0" w:firstRow="1" w:lastRow="0" w:firstColumn="1" w:lastColumn="0" w:noHBand="0" w:noVBand="1"/>
      </w:tblPr>
      <w:tblGrid>
        <w:gridCol w:w="443"/>
        <w:gridCol w:w="644"/>
        <w:gridCol w:w="7447"/>
        <w:gridCol w:w="1330"/>
      </w:tblGrid>
      <w:tr w:rsidR="00AC1CBE" w:rsidRPr="00AC1CBE">
        <w:trPr>
          <w:trHeight w:val="533"/>
        </w:trPr>
        <w:tc>
          <w:tcPr>
            <w:tcW w:w="85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確　　認　　項　　目</w:t>
            </w:r>
          </w:p>
        </w:tc>
        <w:tc>
          <w:tcPr>
            <w:tcW w:w="1330" w:type="dxa"/>
            <w:tcBorders>
              <w:top w:val="single" w:sz="4" w:space="0" w:color="000000"/>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添付書類</w:t>
            </w:r>
          </w:p>
        </w:tc>
      </w:tr>
      <w:tr w:rsidR="00AC1CBE" w:rsidRPr="00AC1CBE">
        <w:trPr>
          <w:cantSplit/>
          <w:trHeight w:val="533"/>
        </w:trPr>
        <w:tc>
          <w:tcPr>
            <w:tcW w:w="443" w:type="dxa"/>
            <w:vMerge w:val="restart"/>
            <w:tcBorders>
              <w:top w:val="single" w:sz="4" w:space="0" w:color="auto"/>
              <w:left w:val="single" w:sz="4" w:space="0" w:color="000000"/>
              <w:right w:val="single" w:sz="4" w:space="0" w:color="000000"/>
            </w:tcBorders>
            <w:shd w:val="clear" w:color="auto" w:fill="auto"/>
            <w:textDirection w:val="tbRlV"/>
            <w:vAlign w:val="center"/>
          </w:tcPr>
          <w:p w:rsidR="00FE061D" w:rsidRPr="00AC1CBE" w:rsidRDefault="005C32A5">
            <w:pPr>
              <w:widowControl/>
              <w:autoSpaceDE w:val="0"/>
              <w:autoSpaceDN w:val="0"/>
              <w:spacing w:line="240" w:lineRule="exact"/>
              <w:ind w:lef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共通</w:t>
            </w: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電気・水道・ガス設備が仮設ではなく本設である。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敷地内外の給排水設備の接続が完了している。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設備機器等が敷地外に突出していない。</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屋上突出設備（水槽、キュービクル、空調機器等）に地震等に対する転倒防止措置が講じられている。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bottom w:val="single" w:sz="4" w:space="0" w:color="auto"/>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建築基準法施行令第９条の関係規定（水道法、下水道法、ガス事業法等）については、所管官庁届等により確認している。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widowControl/>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spacing w:line="240" w:lineRule="exact"/>
              <w:ind w:left="113" w:righ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給排水設備</w:t>
            </w: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飲料水系と雨水利用水系又は排水再利用水系等が直接接続されていない。</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447" w:type="dxa"/>
            <w:tcBorders>
              <w:top w:val="nil"/>
              <w:left w:val="nil"/>
              <w:bottom w:val="nil"/>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給水設備（散水栓等）は吐水口空間が確保されている。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447" w:type="dxa"/>
            <w:tcBorders>
              <w:top w:val="single" w:sz="4" w:space="0" w:color="000000"/>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給水タンク、高架タンクの保守点検に支障がない空間が確保されている。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高架タンクの保守点検のための安全対策（ステージ、手すり等）の措置が講じられている。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雨水排水立て管は、汚水排水管、通気管等と兼用し、又はこれらの管と連結していない。</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雨水排水管を汚水排水管と連結する場合は、直前にトラップ桝等が設けられている。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排水管の保守点検のための掃除口等が設けられている。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通気管末端の開口部と建物の出入口、窓等との離隔距離が確保されている。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９</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排水通気用屋内開放通気弁は、保守点検の可能な場所又は付近に点検口が設けられている。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１０</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排水槽は昭和５０年建設省告示第１５９７号第２に基づき施工されている。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１１</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流し器具、洗面器具、浴槽の床排水に規定の排水トラップが設けられている。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１２</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合併処理浄化槽が申請どおり設けられている。（※工事中及び型式番号がわかる写真を撮ること。）</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１３</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合併処理浄化槽、くみ取り便所の便槽が２４時間漏水していない。</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w w:val="90"/>
                <w:kern w:val="0"/>
                <w:sz w:val="20"/>
                <w:szCs w:val="20"/>
                <w:fitText w:val="1080" w:id="7"/>
              </w:rPr>
              <w:t>写真・データ</w:t>
            </w: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１４</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給排水管、通気管が規定の材質で施工されている。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33"/>
        </w:trPr>
        <w:tc>
          <w:tcPr>
            <w:tcW w:w="443"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１５</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駐車場にオイル阻集器を設ける場合、その構造が適切である。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33"/>
        </w:trPr>
        <w:tc>
          <w:tcPr>
            <w:tcW w:w="443" w:type="dxa"/>
            <w:vMerge/>
            <w:tcBorders>
              <w:left w:val="single" w:sz="4" w:space="0" w:color="000000"/>
              <w:bottom w:val="single" w:sz="4" w:space="0" w:color="auto"/>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１６</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厨房の排水設備にはグリース阻集器が設けられている。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cantSplit/>
          <w:trHeight w:val="567"/>
        </w:trPr>
        <w:tc>
          <w:tcPr>
            <w:tcW w:w="443"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spacing w:line="240" w:lineRule="exact"/>
              <w:ind w:left="113" w:righ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換気設備</w:t>
            </w: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換気設備は保守点検に支障がない位置にある。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567"/>
        </w:trPr>
        <w:tc>
          <w:tcPr>
            <w:tcW w:w="443" w:type="dxa"/>
            <w:vMerge/>
            <w:tcBorders>
              <w:left w:val="single" w:sz="4" w:space="0" w:color="000000"/>
              <w:bottom w:val="single" w:sz="4" w:space="0" w:color="auto"/>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44"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447"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火気使用室に規定の給気設備と排気設備が設けられている。</w:t>
            </w:r>
          </w:p>
        </w:tc>
        <w:tc>
          <w:tcPr>
            <w:tcW w:w="1330"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w w:val="90"/>
                <w:kern w:val="0"/>
                <w:sz w:val="20"/>
                <w:szCs w:val="20"/>
                <w:fitText w:val="1080" w:id="8"/>
              </w:rPr>
              <w:t>写真・データ</w:t>
            </w:r>
          </w:p>
        </w:tc>
      </w:tr>
    </w:tbl>
    <w:p w:rsidR="00FE061D" w:rsidRPr="00AC1CBE" w:rsidRDefault="005C32A5">
      <w:pPr>
        <w:widowControl/>
        <w:jc w:val="left"/>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br w:type="page"/>
      </w:r>
    </w:p>
    <w:p w:rsidR="00FE061D" w:rsidRPr="00AC1CBE" w:rsidRDefault="005C32A5">
      <w:pPr>
        <w:suppressAutoHyphens/>
        <w:autoSpaceDE w:val="0"/>
        <w:autoSpaceDN w:val="0"/>
        <w:ind w:leftChars="-100" w:left="-21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lastRenderedPageBreak/>
        <w:t>その２</w:t>
      </w:r>
    </w:p>
    <w:tbl>
      <w:tblPr>
        <w:tblW w:w="9864" w:type="dxa"/>
        <w:tblLayout w:type="fixed"/>
        <w:tblCellMar>
          <w:left w:w="99" w:type="dxa"/>
          <w:right w:w="99" w:type="dxa"/>
        </w:tblCellMar>
        <w:tblLook w:val="04A0" w:firstRow="1" w:lastRow="0" w:firstColumn="1" w:lastColumn="0" w:noHBand="0" w:noVBand="1"/>
      </w:tblPr>
      <w:tblGrid>
        <w:gridCol w:w="429"/>
        <w:gridCol w:w="448"/>
        <w:gridCol w:w="7653"/>
        <w:gridCol w:w="1334"/>
      </w:tblGrid>
      <w:tr w:rsidR="00AC1CBE" w:rsidRPr="00AC1CBE">
        <w:trPr>
          <w:cantSplit/>
          <w:trHeight w:val="454"/>
        </w:trPr>
        <w:tc>
          <w:tcPr>
            <w:tcW w:w="429" w:type="dxa"/>
            <w:vMerge w:val="restart"/>
            <w:tcBorders>
              <w:top w:val="single" w:sz="4" w:space="0" w:color="auto"/>
              <w:left w:val="single" w:sz="4" w:space="0" w:color="000000"/>
              <w:right w:val="single" w:sz="4" w:space="0" w:color="000000"/>
            </w:tcBorders>
            <w:shd w:val="clear" w:color="auto" w:fill="auto"/>
            <w:textDirection w:val="tbRlV"/>
            <w:vAlign w:val="center"/>
          </w:tcPr>
          <w:p w:rsidR="00FE061D" w:rsidRPr="00AC1CBE" w:rsidRDefault="005C32A5">
            <w:pPr>
              <w:widowControl/>
              <w:autoSpaceDE w:val="0"/>
              <w:autoSpaceDN w:val="0"/>
              <w:spacing w:line="240" w:lineRule="exact"/>
              <w:ind w:lef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換気設備</w:t>
            </w:r>
          </w:p>
        </w:tc>
        <w:tc>
          <w:tcPr>
            <w:tcW w:w="448" w:type="dxa"/>
            <w:tcBorders>
              <w:top w:val="single" w:sz="4" w:space="0" w:color="auto"/>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653" w:type="dxa"/>
            <w:tcBorders>
              <w:top w:val="single" w:sz="4" w:space="0" w:color="auto"/>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居室には当該床面積の１／２０以上の開口部又は規定の機械換気設備が設けられている。</w:t>
            </w:r>
          </w:p>
        </w:tc>
        <w:tc>
          <w:tcPr>
            <w:tcW w:w="133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w w:val="77"/>
                <w:kern w:val="0"/>
                <w:sz w:val="20"/>
                <w:szCs w:val="20"/>
                <w:fitText w:val="1080" w:id="9"/>
              </w:rPr>
              <w:t>機械換気データ</w:t>
            </w:r>
          </w:p>
        </w:tc>
      </w:tr>
      <w:tr w:rsidR="00AC1CBE" w:rsidRPr="00AC1CBE">
        <w:trPr>
          <w:cantSplit/>
          <w:trHeight w:val="454"/>
        </w:trPr>
        <w:tc>
          <w:tcPr>
            <w:tcW w:w="429"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機械換気を必要とする室には規定の換気設備が設けられている。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454"/>
        </w:trPr>
        <w:tc>
          <w:tcPr>
            <w:tcW w:w="429"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シックハウス対策が必要な室には規定の機械換気設備が設けられている。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454"/>
        </w:trPr>
        <w:tc>
          <w:tcPr>
            <w:tcW w:w="429"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開放式ガス器具を設ける室には換気上有効な開口部が設けられている。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454"/>
        </w:trPr>
        <w:tc>
          <w:tcPr>
            <w:tcW w:w="429"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換気ダクトが規定の材質で施工されている。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suppressAutoHyphens/>
              <w:autoSpaceDE w:val="0"/>
              <w:autoSpaceDN w:val="0"/>
              <w:spacing w:line="240" w:lineRule="exact"/>
              <w:ind w:left="113" w:right="113"/>
              <w:jc w:val="center"/>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密閉式、半密閉式ガス器具に設けられた排気筒（煙突）には防火ダンパーが取り付けられていない。</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454"/>
        </w:trPr>
        <w:tc>
          <w:tcPr>
            <w:tcW w:w="429" w:type="dxa"/>
            <w:vMerge/>
            <w:tcBorders>
              <w:left w:val="single" w:sz="4" w:space="0" w:color="000000"/>
              <w:bottom w:val="single" w:sz="4" w:space="0" w:color="auto"/>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９</w:t>
            </w:r>
          </w:p>
        </w:tc>
        <w:tc>
          <w:tcPr>
            <w:tcW w:w="7653" w:type="dxa"/>
            <w:tcBorders>
              <w:top w:val="nil"/>
              <w:left w:val="nil"/>
              <w:bottom w:val="nil"/>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３階建て以上の共同住宅には、ガス器具に適合したガスの安全対策（ヒューズコック、ネジ接合等）がなされている。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454"/>
        </w:trPr>
        <w:tc>
          <w:tcPr>
            <w:tcW w:w="429"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spacing w:line="240" w:lineRule="exact"/>
              <w:ind w:left="113" w:righ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排煙設備</w:t>
            </w: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653" w:type="dxa"/>
            <w:tcBorders>
              <w:top w:val="single" w:sz="4" w:space="0" w:color="000000"/>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排煙を要する場所には、当該床面積の１／５０以上の開口部又は規定の機械排煙設備が設けられている。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w w:val="77"/>
                <w:kern w:val="0"/>
                <w:sz w:val="20"/>
                <w:szCs w:val="20"/>
                <w:fitText w:val="1080" w:id="10"/>
              </w:rPr>
              <w:t>機械排煙データ</w:t>
            </w:r>
          </w:p>
        </w:tc>
      </w:tr>
      <w:tr w:rsidR="00AC1CBE" w:rsidRPr="00AC1CBE">
        <w:trPr>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送風機を設けた排煙設備その他の特殊な構造の排煙設備の場合、平成１２年建設省告示第１４３７号に基づき施工されている。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付室等に設置した加圧防排煙設備の場合、平成28年国土交通省告示第６９６号及び第６９７号に基づき施工されている。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排煙設備のための手動開放装置が規定の高さの位置にある。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排煙ダクトに設ける防火ダンパーは２８０℃の温度ヒューズを使用している。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排煙ダクトの断熱が必要な箇所にはロックウール等で被覆されている。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機械排煙設備等の作動と連動して、換気、空調設備が停止する。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機械排煙設備等が作動しても負圧による当該区画内の避難方向への戸の開閉に支障がない。</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16"/>
        </w:trPr>
        <w:tc>
          <w:tcPr>
            <w:tcW w:w="429" w:type="dxa"/>
            <w:vMerge/>
            <w:tcBorders>
              <w:left w:val="single" w:sz="4" w:space="0" w:color="000000"/>
              <w:bottom w:val="single" w:sz="4" w:space="0" w:color="auto"/>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９</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機械排煙設備の煙出口、付室及び乗降ロビーに設ける給気取入口等は、｢延焼のおそれのある部分｣以外に設けられている。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454"/>
        </w:trPr>
        <w:tc>
          <w:tcPr>
            <w:tcW w:w="429"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widowControl/>
              <w:autoSpaceDE w:val="0"/>
              <w:autoSpaceDN w:val="0"/>
              <w:spacing w:line="240" w:lineRule="exact"/>
              <w:ind w:left="113" w:righ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非常用照明</w:t>
            </w: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非常用照明器具は必要な場所に設けられ、規定の照度がある。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w w:val="90"/>
                <w:kern w:val="0"/>
                <w:sz w:val="20"/>
                <w:szCs w:val="20"/>
                <w:fitText w:val="1080" w:id="11"/>
              </w:rPr>
              <w:t>写真・データ</w:t>
            </w: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非常用照明装置は、ＪＩＬ適合マーク等により確認している。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454"/>
        </w:trPr>
        <w:tc>
          <w:tcPr>
            <w:tcW w:w="429"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電池内蔵形は配線が正しく行われ、コンセント型の引き抜き防止措置が講じられ、蓄電池に充電されている。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16"/>
        </w:trPr>
        <w:tc>
          <w:tcPr>
            <w:tcW w:w="429" w:type="dxa"/>
            <w:vMerge/>
            <w:tcBorders>
              <w:left w:val="single" w:sz="4" w:space="0" w:color="000000"/>
              <w:bottom w:val="single" w:sz="4" w:space="0" w:color="auto"/>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電源別置形は停電検出については、分電盤の廊下等避難経路の分岐回路の二次側から分岐されている。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510"/>
        </w:trPr>
        <w:tc>
          <w:tcPr>
            <w:tcW w:w="429"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spacing w:line="240" w:lineRule="exact"/>
              <w:ind w:left="113" w:righ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予備電源</w:t>
            </w: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常用の電源から予備電源への切替えに支障がない。</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データ</w:t>
            </w:r>
          </w:p>
        </w:tc>
      </w:tr>
      <w:tr w:rsidR="00AC1CBE" w:rsidRPr="00AC1CBE">
        <w:trPr>
          <w:cantSplit/>
          <w:trHeight w:val="510"/>
        </w:trPr>
        <w:tc>
          <w:tcPr>
            <w:tcW w:w="429" w:type="dxa"/>
            <w:vMerge/>
            <w:tcBorders>
              <w:left w:val="single" w:sz="4" w:space="0" w:color="000000"/>
              <w:bottom w:val="single" w:sz="4" w:space="0" w:color="auto"/>
              <w:right w:val="single" w:sz="4" w:space="0" w:color="000000"/>
            </w:tcBorders>
            <w:textDirection w:val="tbRlV"/>
            <w:vAlign w:val="center"/>
          </w:tcPr>
          <w:p w:rsidR="00FE061D" w:rsidRPr="00AC1CBE" w:rsidRDefault="00FE061D">
            <w:pPr>
              <w:suppressAutoHyphens/>
              <w:autoSpaceDE w:val="0"/>
              <w:autoSpaceDN w:val="0"/>
              <w:spacing w:line="240" w:lineRule="exact"/>
              <w:ind w:left="113" w:right="113"/>
              <w:jc w:val="center"/>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耐熱規制を受けた配線、分電盤等で施工されている。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454"/>
        </w:trPr>
        <w:tc>
          <w:tcPr>
            <w:tcW w:w="429" w:type="dxa"/>
            <w:vMerge w:val="restart"/>
            <w:tcBorders>
              <w:top w:val="single" w:sz="4" w:space="0" w:color="auto"/>
              <w:left w:val="single" w:sz="4" w:space="0" w:color="000000"/>
              <w:bottom w:val="single" w:sz="4" w:space="0" w:color="auto"/>
              <w:right w:val="single" w:sz="4" w:space="0" w:color="000000"/>
            </w:tcBorders>
            <w:textDirection w:val="tbRlV"/>
            <w:vAlign w:val="center"/>
          </w:tcPr>
          <w:p w:rsidR="00FE061D" w:rsidRPr="00AC1CBE" w:rsidRDefault="005C32A5">
            <w:pPr>
              <w:suppressAutoHyphens/>
              <w:autoSpaceDE w:val="0"/>
              <w:autoSpaceDN w:val="0"/>
              <w:spacing w:line="240" w:lineRule="exact"/>
              <w:ind w:left="113" w:righ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避雷設備</w:t>
            </w: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被保護建築物等の雷保護レベルに従って、外部雷保護システムが設置されている。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16"/>
        </w:trPr>
        <w:tc>
          <w:tcPr>
            <w:tcW w:w="429" w:type="dxa"/>
            <w:vMerge/>
            <w:tcBorders>
              <w:top w:val="single" w:sz="4" w:space="0" w:color="auto"/>
              <w:left w:val="single" w:sz="4" w:space="0" w:color="000000"/>
              <w:bottom w:val="single" w:sz="4" w:space="0" w:color="auto"/>
              <w:right w:val="single" w:sz="4" w:space="0" w:color="000000"/>
            </w:tcBorders>
            <w:textDirection w:val="tbRlV"/>
            <w:vAlign w:val="center"/>
          </w:tcPr>
          <w:p w:rsidR="00FE061D" w:rsidRPr="00AC1CBE" w:rsidRDefault="00FE061D">
            <w:pPr>
              <w:suppressAutoHyphens/>
              <w:autoSpaceDE w:val="0"/>
              <w:autoSpaceDN w:val="0"/>
              <w:spacing w:line="240" w:lineRule="exact"/>
              <w:ind w:left="113" w:right="113"/>
              <w:jc w:val="center"/>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被保護建築物等が保護範囲内に入るように受雷部システムが設置されている。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16"/>
        </w:trPr>
        <w:tc>
          <w:tcPr>
            <w:tcW w:w="429" w:type="dxa"/>
            <w:vMerge/>
            <w:tcBorders>
              <w:top w:val="single" w:sz="4" w:space="0" w:color="auto"/>
              <w:left w:val="single" w:sz="4" w:space="0" w:color="000000"/>
              <w:bottom w:val="single" w:sz="4" w:space="0" w:color="auto"/>
              <w:right w:val="single" w:sz="4" w:space="0" w:color="000000"/>
            </w:tcBorders>
            <w:textDirection w:val="tbRlV"/>
            <w:vAlign w:val="center"/>
          </w:tcPr>
          <w:p w:rsidR="00FE061D" w:rsidRPr="00AC1CBE" w:rsidRDefault="00FE061D">
            <w:pPr>
              <w:suppressAutoHyphens/>
              <w:autoSpaceDE w:val="0"/>
              <w:autoSpaceDN w:val="0"/>
              <w:spacing w:line="240" w:lineRule="exact"/>
              <w:ind w:left="113" w:right="113"/>
              <w:jc w:val="center"/>
              <w:rPr>
                <w:rFonts w:ascii="ＭＳ 明朝" w:eastAsia="ＭＳ 明朝" w:hAnsi="ＭＳ 明朝" w:cs="Times New Roman"/>
                <w:kern w:val="0"/>
                <w:sz w:val="20"/>
                <w:szCs w:val="20"/>
              </w:rPr>
            </w:pPr>
          </w:p>
        </w:tc>
        <w:tc>
          <w:tcPr>
            <w:tcW w:w="448"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653"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引下げ導線システムと受雷部システム、接地極システムが電気的に接続されている。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16"/>
        </w:trPr>
        <w:tc>
          <w:tcPr>
            <w:tcW w:w="429"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448" w:type="dxa"/>
            <w:tcBorders>
              <w:top w:val="nil"/>
              <w:left w:val="nil"/>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653" w:type="dxa"/>
            <w:tcBorders>
              <w:top w:val="nil"/>
              <w:left w:val="nil"/>
              <w:bottom w:val="single" w:sz="4" w:space="0" w:color="auto"/>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引下げ導線システムが保護レベルに応じた平均間隔に配置されている。</w:t>
            </w:r>
          </w:p>
        </w:tc>
        <w:tc>
          <w:tcPr>
            <w:tcW w:w="1334" w:type="dxa"/>
            <w:tcBorders>
              <w:top w:val="nil"/>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16"/>
        </w:trPr>
        <w:tc>
          <w:tcPr>
            <w:tcW w:w="429" w:type="dxa"/>
            <w:vMerge/>
            <w:tcBorders>
              <w:top w:val="single" w:sz="4" w:space="0" w:color="auto"/>
              <w:left w:val="single" w:sz="4" w:space="0" w:color="000000"/>
              <w:bottom w:val="single" w:sz="4" w:space="0" w:color="auto"/>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448" w:type="dxa"/>
            <w:tcBorders>
              <w:top w:val="single" w:sz="4" w:space="0" w:color="auto"/>
              <w:left w:val="nil"/>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7653"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接地極システムが設計通りに施工されている。</w:t>
            </w:r>
          </w:p>
        </w:tc>
        <w:tc>
          <w:tcPr>
            <w:tcW w:w="133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16"/>
        </w:trPr>
        <w:tc>
          <w:tcPr>
            <w:tcW w:w="429" w:type="dxa"/>
            <w:vMerge/>
            <w:tcBorders>
              <w:top w:val="single" w:sz="4" w:space="0" w:color="auto"/>
              <w:left w:val="single" w:sz="4" w:space="0" w:color="000000"/>
              <w:bottom w:val="single" w:sz="4" w:space="0" w:color="auto"/>
              <w:right w:val="single" w:sz="4" w:space="0" w:color="000000"/>
            </w:tcBorders>
            <w:textDirection w:val="tbRlV"/>
            <w:vAlign w:val="center"/>
          </w:tcPr>
          <w:p w:rsidR="00FE061D" w:rsidRPr="00AC1CBE" w:rsidRDefault="00FE061D">
            <w:pPr>
              <w:widowControl/>
              <w:autoSpaceDE w:val="0"/>
              <w:autoSpaceDN w:val="0"/>
              <w:spacing w:line="240" w:lineRule="exact"/>
              <w:jc w:val="center"/>
              <w:rPr>
                <w:rFonts w:ascii="ＭＳ 明朝" w:eastAsia="ＭＳ 明朝" w:hAnsi="ＭＳ 明朝" w:cs="Times New Roman"/>
                <w:kern w:val="0"/>
                <w:sz w:val="20"/>
                <w:szCs w:val="20"/>
              </w:rPr>
            </w:pPr>
          </w:p>
        </w:tc>
        <w:tc>
          <w:tcPr>
            <w:tcW w:w="448" w:type="dxa"/>
            <w:tcBorders>
              <w:top w:val="single" w:sz="4" w:space="0" w:color="auto"/>
              <w:left w:val="nil"/>
              <w:bottom w:val="single" w:sz="4" w:space="0" w:color="auto"/>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7653" w:type="dxa"/>
            <w:tcBorders>
              <w:top w:val="single" w:sz="4" w:space="0" w:color="auto"/>
              <w:left w:val="nil"/>
              <w:bottom w:val="single" w:sz="4" w:space="0" w:color="auto"/>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19"/>
                <w:szCs w:val="19"/>
              </w:rPr>
            </w:pPr>
            <w:r w:rsidRPr="00AC1CBE">
              <w:rPr>
                <w:rFonts w:ascii="ＭＳ 明朝" w:eastAsia="ＭＳ 明朝" w:hAnsi="ＭＳ 明朝" w:cs="Times New Roman" w:hint="eastAsia"/>
                <w:kern w:val="0"/>
                <w:sz w:val="19"/>
                <w:szCs w:val="19"/>
              </w:rPr>
              <w:t>外部雷保護システムが規定の材料で、最小寸法を満たしている。</w:t>
            </w:r>
          </w:p>
        </w:tc>
        <w:tc>
          <w:tcPr>
            <w:tcW w:w="133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bl>
    <w:p w:rsidR="00FE061D" w:rsidRPr="00AC1CBE" w:rsidRDefault="005C32A5">
      <w:pPr>
        <w:suppressAutoHyphens/>
        <w:autoSpaceDE w:val="0"/>
        <w:autoSpaceDN w:val="0"/>
        <w:ind w:leftChars="-100" w:left="-210"/>
        <w:rPr>
          <w:rFonts w:ascii="ＭＳ 明朝" w:eastAsia="ＭＳ 明朝" w:hAnsi="ＭＳ 明朝" w:cs="Times New Roman"/>
          <w:kern w:val="0"/>
          <w:sz w:val="20"/>
          <w:szCs w:val="20"/>
        </w:rPr>
      </w:pPr>
      <w:r w:rsidRPr="00AC1CBE">
        <w:rPr>
          <w:rFonts w:ascii="ＭＳ 明朝" w:eastAsia="ＭＳ 明朝" w:hAnsi="ＭＳ 明朝" w:cs="Times New Roman"/>
          <w:kern w:val="0"/>
          <w:sz w:val="20"/>
          <w:szCs w:val="20"/>
        </w:rPr>
        <w:br w:type="page"/>
      </w:r>
    </w:p>
    <w:p w:rsidR="00FE061D" w:rsidRPr="00AC1CBE" w:rsidRDefault="005C32A5">
      <w:pPr>
        <w:suppressAutoHyphens/>
        <w:autoSpaceDE w:val="0"/>
        <w:autoSpaceDN w:val="0"/>
        <w:ind w:leftChars="-100" w:left="-210"/>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lastRenderedPageBreak/>
        <w:t>その３</w:t>
      </w:r>
      <w:r w:rsidRPr="00AC1CBE">
        <w:rPr>
          <w:rFonts w:ascii="ＭＳ 明朝" w:eastAsia="ＭＳ 明朝" w:hAnsi="ＭＳ 明朝" w:cs="Times New Roman"/>
          <w:kern w:val="0"/>
          <w:sz w:val="20"/>
          <w:szCs w:val="20"/>
        </w:rPr>
        <w:t xml:space="preserve">　</w:t>
      </w:r>
    </w:p>
    <w:tbl>
      <w:tblPr>
        <w:tblW w:w="9864" w:type="dxa"/>
        <w:tblLayout w:type="fixed"/>
        <w:tblCellMar>
          <w:left w:w="99" w:type="dxa"/>
          <w:right w:w="99" w:type="dxa"/>
        </w:tblCellMar>
        <w:tblLook w:val="04A0" w:firstRow="1" w:lastRow="0" w:firstColumn="1" w:lastColumn="0" w:noHBand="0" w:noVBand="1"/>
      </w:tblPr>
      <w:tblGrid>
        <w:gridCol w:w="532"/>
        <w:gridCol w:w="639"/>
        <w:gridCol w:w="7359"/>
        <w:gridCol w:w="1334"/>
      </w:tblGrid>
      <w:tr w:rsidR="00AC1CBE" w:rsidRPr="00AC1CBE">
        <w:trPr>
          <w:cantSplit/>
          <w:trHeight w:val="567"/>
        </w:trPr>
        <w:tc>
          <w:tcPr>
            <w:tcW w:w="532" w:type="dxa"/>
            <w:vMerge w:val="restart"/>
            <w:tcBorders>
              <w:top w:val="single" w:sz="4" w:space="0" w:color="auto"/>
              <w:left w:val="single" w:sz="4" w:space="0" w:color="000000"/>
              <w:right w:val="single" w:sz="4" w:space="0" w:color="000000"/>
            </w:tcBorders>
            <w:shd w:val="clear" w:color="auto" w:fill="auto"/>
            <w:textDirection w:val="tbRlV"/>
            <w:vAlign w:val="center"/>
          </w:tcPr>
          <w:p w:rsidR="00FE061D" w:rsidRPr="00AC1CBE" w:rsidRDefault="005C32A5">
            <w:pPr>
              <w:widowControl/>
              <w:autoSpaceDE w:val="0"/>
              <w:autoSpaceDN w:val="0"/>
              <w:spacing w:line="240" w:lineRule="exact"/>
              <w:ind w:lef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その他</w:t>
            </w:r>
          </w:p>
        </w:tc>
        <w:tc>
          <w:tcPr>
            <w:tcW w:w="639" w:type="dxa"/>
            <w:tcBorders>
              <w:top w:val="single" w:sz="4" w:space="0" w:color="auto"/>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359" w:type="dxa"/>
            <w:tcBorders>
              <w:top w:val="single" w:sz="4" w:space="0" w:color="auto"/>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外壁部で「延焼のおそれのある部分」に設けられる換気設備の開口部に防火設備（ＦＤ等）が設けられている。</w:t>
            </w:r>
          </w:p>
        </w:tc>
        <w:tc>
          <w:tcPr>
            <w:tcW w:w="133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567"/>
        </w:trPr>
        <w:tc>
          <w:tcPr>
            <w:tcW w:w="532" w:type="dxa"/>
            <w:vMerge/>
            <w:tcBorders>
              <w:left w:val="single" w:sz="4" w:space="0" w:color="000000"/>
              <w:right w:val="single" w:sz="4" w:space="0" w:color="000000"/>
            </w:tcBorders>
            <w:shd w:val="clear" w:color="auto" w:fill="auto"/>
            <w:textDirection w:val="tbRlV"/>
            <w:vAlign w:val="center"/>
          </w:tcPr>
          <w:p w:rsidR="00FE061D" w:rsidRPr="00AC1CBE" w:rsidRDefault="00FE061D">
            <w:pPr>
              <w:widowControl/>
              <w:autoSpaceDE w:val="0"/>
              <w:autoSpaceDN w:val="0"/>
              <w:spacing w:line="240" w:lineRule="exact"/>
              <w:ind w:left="113"/>
              <w:jc w:val="center"/>
              <w:rPr>
                <w:rFonts w:ascii="ＭＳ 明朝" w:eastAsia="ＭＳ 明朝" w:hAnsi="ＭＳ 明朝" w:cs="Times New Roman"/>
                <w:kern w:val="0"/>
                <w:sz w:val="20"/>
                <w:szCs w:val="20"/>
              </w:rPr>
            </w:pPr>
          </w:p>
        </w:tc>
        <w:tc>
          <w:tcPr>
            <w:tcW w:w="639" w:type="dxa"/>
            <w:tcBorders>
              <w:top w:val="single" w:sz="4" w:space="0" w:color="auto"/>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359" w:type="dxa"/>
            <w:tcBorders>
              <w:top w:val="single" w:sz="4" w:space="0" w:color="auto"/>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換気、空調ダクトに設ける防火ダンパーが防火区画等の貫通部に取り付けられている。</w:t>
            </w:r>
          </w:p>
        </w:tc>
        <w:tc>
          <w:tcPr>
            <w:tcW w:w="133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cantSplit/>
          <w:trHeight w:val="567"/>
        </w:trPr>
        <w:tc>
          <w:tcPr>
            <w:tcW w:w="532" w:type="dxa"/>
            <w:vMerge/>
            <w:tcBorders>
              <w:left w:val="single" w:sz="4" w:space="0" w:color="000000"/>
              <w:right w:val="single" w:sz="4" w:space="0" w:color="000000"/>
            </w:tcBorders>
            <w:shd w:val="clear" w:color="auto" w:fill="auto"/>
            <w:textDirection w:val="tbRlV"/>
            <w:vAlign w:val="center"/>
          </w:tcPr>
          <w:p w:rsidR="00FE061D" w:rsidRPr="00AC1CBE" w:rsidRDefault="00FE061D">
            <w:pPr>
              <w:widowControl/>
              <w:autoSpaceDE w:val="0"/>
              <w:autoSpaceDN w:val="0"/>
              <w:spacing w:line="240" w:lineRule="exact"/>
              <w:ind w:left="113"/>
              <w:jc w:val="center"/>
              <w:rPr>
                <w:rFonts w:ascii="ＭＳ 明朝" w:eastAsia="ＭＳ 明朝" w:hAnsi="ＭＳ 明朝" w:cs="Times New Roman"/>
                <w:kern w:val="0"/>
                <w:sz w:val="20"/>
                <w:szCs w:val="20"/>
              </w:rPr>
            </w:pPr>
          </w:p>
        </w:tc>
        <w:tc>
          <w:tcPr>
            <w:tcW w:w="639" w:type="dxa"/>
            <w:tcBorders>
              <w:top w:val="single" w:sz="4" w:space="0" w:color="auto"/>
              <w:left w:val="nil"/>
              <w:bottom w:val="single" w:sz="4" w:space="0" w:color="000000"/>
              <w:right w:val="single" w:sz="4" w:space="0" w:color="000000"/>
            </w:tcBorders>
            <w:shd w:val="clear" w:color="auto" w:fill="auto"/>
            <w:noWrap/>
            <w:vAlign w:val="center"/>
          </w:tcPr>
          <w:p w:rsidR="00FE061D" w:rsidRPr="00AC1CBE" w:rsidRDefault="005C32A5">
            <w:pPr>
              <w:widowControl/>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359" w:type="dxa"/>
            <w:tcBorders>
              <w:top w:val="single" w:sz="4" w:space="0" w:color="auto"/>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防火ダンパーの構造は、日本防排煙工業会の自主適合マーク等により確認している。</w:t>
            </w:r>
          </w:p>
        </w:tc>
        <w:tc>
          <w:tcPr>
            <w:tcW w:w="133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４</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防火ダンパーの付近の天井面には保守点検のための点検口（４５ｃｍ角以上）が設けられている。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５</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防火戸、ダンパー、可動たれ壁に連動する感知器が規定の位置に設けられ、作動する。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w w:val="90"/>
                <w:kern w:val="0"/>
                <w:sz w:val="20"/>
                <w:szCs w:val="20"/>
                <w:fitText w:val="1080" w:id="12"/>
              </w:rPr>
              <w:t>写真・データ</w:t>
            </w:r>
          </w:p>
        </w:tc>
      </w:tr>
      <w:tr w:rsidR="00AC1CBE" w:rsidRPr="00AC1CBE">
        <w:trPr>
          <w:trHeight w:val="567"/>
        </w:trPr>
        <w:tc>
          <w:tcPr>
            <w:tcW w:w="532"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６</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配管、ダクト、配線等が防火区画等を貫通する際に、防火措置が講じられている。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写真</w:t>
            </w:r>
          </w:p>
        </w:tc>
      </w:tr>
      <w:tr w:rsidR="00AC1CBE" w:rsidRPr="00AC1CBE">
        <w:trPr>
          <w:trHeight w:val="567"/>
        </w:trPr>
        <w:tc>
          <w:tcPr>
            <w:tcW w:w="532" w:type="dxa"/>
            <w:vMerge/>
            <w:tcBorders>
              <w:left w:val="single" w:sz="4" w:space="0" w:color="000000"/>
              <w:right w:val="single" w:sz="4" w:space="0" w:color="000000"/>
            </w:tcBorders>
            <w:vAlign w:val="center"/>
          </w:tcPr>
          <w:p w:rsidR="00FE061D" w:rsidRPr="00AC1CBE" w:rsidRDefault="00FE061D">
            <w:pPr>
              <w:widowControl/>
              <w:autoSpaceDE w:val="0"/>
              <w:autoSpaceDN w:val="0"/>
              <w:spacing w:line="240" w:lineRule="exact"/>
              <w:jc w:val="left"/>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７</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和風便器、阻集器が防火区画の床を貫通する際に、耐火被覆等の防火措置が講じられている。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tcBorders>
              <w:left w:val="single" w:sz="4" w:space="0" w:color="000000"/>
              <w:right w:val="single" w:sz="4" w:space="0" w:color="000000"/>
            </w:tcBorders>
            <w:textDirection w:val="tbRlV"/>
            <w:vAlign w:val="center"/>
          </w:tcPr>
          <w:p w:rsidR="00FE061D" w:rsidRPr="00AC1CBE" w:rsidRDefault="00FE061D">
            <w:pPr>
              <w:suppressAutoHyphens/>
              <w:autoSpaceDE w:val="0"/>
              <w:autoSpaceDN w:val="0"/>
              <w:spacing w:line="240" w:lineRule="exact"/>
              <w:ind w:left="113" w:right="113"/>
              <w:jc w:val="center"/>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８</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３階建て以上の建築物に設けられる直通階段（屋内、屋外）に直接面した部分に換気設備の開口部が設けられていない。</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９</w:t>
            </w:r>
          </w:p>
        </w:tc>
        <w:tc>
          <w:tcPr>
            <w:tcW w:w="7359" w:type="dxa"/>
            <w:tcBorders>
              <w:top w:val="nil"/>
              <w:left w:val="nil"/>
              <w:bottom w:val="nil"/>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屋外避難階段から２ｍ未満に換気設備の開口部が設けられていない。</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tcBorders>
              <w:left w:val="single" w:sz="4" w:space="0" w:color="000000"/>
              <w:bottom w:val="single" w:sz="4" w:space="0" w:color="auto"/>
              <w:right w:val="single" w:sz="4" w:space="0" w:color="000000"/>
            </w:tcBorders>
            <w:textDirection w:val="tbRlV"/>
            <w:vAlign w:val="center"/>
          </w:tcPr>
          <w:p w:rsidR="00FE061D" w:rsidRPr="00AC1CBE" w:rsidRDefault="00FE061D">
            <w:pPr>
              <w:suppressAutoHyphens/>
              <w:autoSpaceDE w:val="0"/>
              <w:autoSpaceDN w:val="0"/>
              <w:spacing w:line="240" w:lineRule="exact"/>
              <w:ind w:left="113" w:right="113"/>
              <w:jc w:val="center"/>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１０</w:t>
            </w:r>
          </w:p>
        </w:tc>
        <w:tc>
          <w:tcPr>
            <w:tcW w:w="7359" w:type="dxa"/>
            <w:tcBorders>
              <w:top w:val="single" w:sz="4" w:space="0" w:color="000000"/>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屋外階段の正面、屋外避難階段から周囲２ｍ範囲の給湯器は扉内型である。</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val="restart"/>
            <w:tcBorders>
              <w:top w:val="single" w:sz="4" w:space="0" w:color="auto"/>
              <w:left w:val="single" w:sz="4" w:space="0" w:color="000000"/>
              <w:right w:val="single" w:sz="4" w:space="0" w:color="000000"/>
            </w:tcBorders>
            <w:textDirection w:val="tbRlV"/>
            <w:vAlign w:val="center"/>
          </w:tcPr>
          <w:p w:rsidR="00FE061D" w:rsidRPr="00AC1CBE" w:rsidRDefault="005C32A5">
            <w:pPr>
              <w:suppressAutoHyphens/>
              <w:autoSpaceDE w:val="0"/>
              <w:autoSpaceDN w:val="0"/>
              <w:spacing w:line="240" w:lineRule="exact"/>
              <w:ind w:left="113" w:right="113"/>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昇降機</w:t>
            </w: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１</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昇降路内は他の用途の配線、配管等（光ファイバーケーブル等を除く。）が設けられていない。</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tcBorders>
              <w:left w:val="single" w:sz="4" w:space="0" w:color="000000"/>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２</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昇降路は、耐火構造等で区画され、路内には穴、隙間がなく、かつ突出物がない。</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r w:rsidR="00AC1CBE" w:rsidRPr="00AC1CBE">
        <w:trPr>
          <w:trHeight w:val="567"/>
        </w:trPr>
        <w:tc>
          <w:tcPr>
            <w:tcW w:w="532" w:type="dxa"/>
            <w:vMerge/>
            <w:tcBorders>
              <w:left w:val="single" w:sz="4" w:space="0" w:color="000000"/>
              <w:bottom w:val="single" w:sz="4" w:space="0" w:color="auto"/>
              <w:right w:val="single" w:sz="4" w:space="0" w:color="000000"/>
            </w:tcBorders>
            <w:textDirection w:val="tbRlV"/>
            <w:vAlign w:val="center"/>
          </w:tcPr>
          <w:p w:rsidR="00FE061D" w:rsidRPr="00AC1CBE" w:rsidRDefault="00FE061D">
            <w:pPr>
              <w:widowControl/>
              <w:autoSpaceDE w:val="0"/>
              <w:autoSpaceDN w:val="0"/>
              <w:spacing w:line="240" w:lineRule="exact"/>
              <w:ind w:left="113" w:right="113"/>
              <w:jc w:val="left"/>
              <w:rPr>
                <w:rFonts w:ascii="ＭＳ 明朝" w:eastAsia="ＭＳ 明朝" w:hAnsi="ＭＳ 明朝" w:cs="Times New Roman"/>
                <w:kern w:val="0"/>
                <w:sz w:val="20"/>
                <w:szCs w:val="20"/>
              </w:rPr>
            </w:pPr>
          </w:p>
        </w:tc>
        <w:tc>
          <w:tcPr>
            <w:tcW w:w="639" w:type="dxa"/>
            <w:tcBorders>
              <w:top w:val="nil"/>
              <w:left w:val="nil"/>
              <w:bottom w:val="single" w:sz="4" w:space="0" w:color="000000"/>
              <w:right w:val="single" w:sz="4" w:space="0" w:color="000000"/>
            </w:tcBorders>
            <w:shd w:val="clear" w:color="auto" w:fill="auto"/>
            <w:noWrap/>
            <w:vAlign w:val="center"/>
          </w:tcPr>
          <w:p w:rsidR="00FE061D" w:rsidRPr="00AC1CBE" w:rsidRDefault="005C32A5">
            <w:pPr>
              <w:suppressAutoHyphens/>
              <w:autoSpaceDE w:val="0"/>
              <w:autoSpaceDN w:val="0"/>
              <w:spacing w:line="240" w:lineRule="exact"/>
              <w:jc w:val="center"/>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３</w:t>
            </w:r>
          </w:p>
        </w:tc>
        <w:tc>
          <w:tcPr>
            <w:tcW w:w="7359" w:type="dxa"/>
            <w:tcBorders>
              <w:top w:val="nil"/>
              <w:left w:val="nil"/>
              <w:bottom w:val="single" w:sz="4" w:space="0" w:color="000000"/>
              <w:right w:val="nil"/>
            </w:tcBorders>
            <w:shd w:val="clear" w:color="auto" w:fill="auto"/>
            <w:vAlign w:val="center"/>
          </w:tcPr>
          <w:p w:rsidR="00FE061D" w:rsidRPr="00AC1CBE" w:rsidRDefault="005C32A5">
            <w:pPr>
              <w:suppressAutoHyphens/>
              <w:autoSpaceDE w:val="0"/>
              <w:autoSpaceDN w:val="0"/>
              <w:spacing w:line="240" w:lineRule="exact"/>
              <w:jc w:val="left"/>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非常用ＥＶの各階乗降ロビー内の見やすい位置に避難経路図を掲示した。</w:t>
            </w:r>
          </w:p>
        </w:tc>
        <w:tc>
          <w:tcPr>
            <w:tcW w:w="1334" w:type="dxa"/>
            <w:tcBorders>
              <w:top w:val="nil"/>
              <w:left w:val="single" w:sz="4" w:space="0" w:color="000000"/>
              <w:bottom w:val="single" w:sz="4" w:space="0" w:color="000000"/>
              <w:right w:val="single" w:sz="4" w:space="0" w:color="000000"/>
            </w:tcBorders>
            <w:shd w:val="clear" w:color="auto" w:fill="auto"/>
            <w:noWrap/>
            <w:vAlign w:val="center"/>
          </w:tcPr>
          <w:p w:rsidR="00FE061D" w:rsidRPr="00AC1CBE" w:rsidRDefault="00FE061D">
            <w:pPr>
              <w:suppressAutoHyphens/>
              <w:autoSpaceDE w:val="0"/>
              <w:autoSpaceDN w:val="0"/>
              <w:spacing w:line="240" w:lineRule="exact"/>
              <w:jc w:val="center"/>
              <w:rPr>
                <w:rFonts w:ascii="ＭＳ 明朝" w:eastAsia="ＭＳ 明朝" w:hAnsi="ＭＳ 明朝" w:cs="Times New Roman"/>
                <w:kern w:val="0"/>
                <w:sz w:val="20"/>
                <w:szCs w:val="20"/>
              </w:rPr>
            </w:pPr>
          </w:p>
        </w:tc>
      </w:tr>
    </w:tbl>
    <w:p w:rsidR="00FE061D" w:rsidRPr="00AC1CBE" w:rsidRDefault="005C32A5">
      <w:pPr>
        <w:suppressAutoHyphens/>
        <w:autoSpaceDE w:val="0"/>
        <w:autoSpaceDN w:val="0"/>
        <w:spacing w:line="240" w:lineRule="exact"/>
        <w:ind w:rightChars="23" w:right="48"/>
        <w:rPr>
          <w:rFonts w:ascii="ＭＳ 明朝" w:eastAsia="ＭＳ 明朝" w:hAnsi="ＭＳ 明朝" w:cs="Times New Roman"/>
          <w:kern w:val="0"/>
          <w:sz w:val="20"/>
          <w:szCs w:val="20"/>
        </w:rPr>
      </w:pPr>
      <w:r w:rsidRPr="00AC1CBE">
        <w:rPr>
          <w:rFonts w:ascii="ＭＳ 明朝" w:eastAsia="ＭＳ 明朝" w:hAnsi="ＭＳ 明朝" w:cs="Times New Roman" w:hint="eastAsia"/>
          <w:kern w:val="0"/>
          <w:sz w:val="20"/>
          <w:szCs w:val="20"/>
        </w:rPr>
        <w:t>注</w:t>
      </w:r>
    </w:p>
    <w:p w:rsidR="006C39CA" w:rsidRDefault="005C32A5">
      <w:pPr>
        <w:tabs>
          <w:tab w:val="left" w:pos="3621"/>
          <w:tab w:val="right" w:pos="9864"/>
        </w:tabs>
        <w:suppressAutoHyphens/>
        <w:autoSpaceDE w:val="0"/>
        <w:autoSpaceDN w:val="0"/>
        <w:jc w:val="left"/>
        <w:rPr>
          <w:rFonts w:ascii="ＭＳ 明朝" w:eastAsia="ＭＳ 明朝" w:hAnsi="ＭＳ 明朝" w:cs="Times New Roman" w:hint="eastAsia"/>
          <w:kern w:val="0"/>
          <w:sz w:val="20"/>
          <w:szCs w:val="20"/>
        </w:rPr>
      </w:pPr>
      <w:r w:rsidRPr="00AC1CBE">
        <w:rPr>
          <w:rFonts w:ascii="ＭＳ 明朝" w:eastAsia="ＭＳ 明朝" w:hAnsi="ＭＳ 明朝" w:cs="Times New Roman" w:hint="eastAsia"/>
          <w:kern w:val="0"/>
          <w:sz w:val="20"/>
          <w:szCs w:val="20"/>
        </w:rPr>
        <w:t xml:space="preserve">　確認した項目については、項目番号を○で囲んでください。</w:t>
      </w:r>
      <w:bookmarkStart w:id="0" w:name="_GoBack"/>
      <w:bookmarkEnd w:id="0"/>
    </w:p>
    <w:sectPr w:rsidR="006C39CA" w:rsidSect="006C39CA">
      <w:pgSz w:w="11906" w:h="16838"/>
      <w:pgMar w:top="907" w:right="1021" w:bottom="1021" w:left="1021" w:header="720" w:footer="720" w:gutter="0"/>
      <w:cols w:space="720"/>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3E5" w:rsidRDefault="007513E5">
      <w:r>
        <w:separator/>
      </w:r>
    </w:p>
  </w:endnote>
  <w:endnote w:type="continuationSeparator" w:id="0">
    <w:p w:rsidR="007513E5" w:rsidRDefault="0075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3E5" w:rsidRDefault="007513E5">
      <w:r>
        <w:separator/>
      </w:r>
    </w:p>
  </w:footnote>
  <w:footnote w:type="continuationSeparator" w:id="0">
    <w:p w:rsidR="007513E5" w:rsidRDefault="00751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9"/>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DA"/>
    <w:rsid w:val="00003A67"/>
    <w:rsid w:val="00023CD6"/>
    <w:rsid w:val="00036F8E"/>
    <w:rsid w:val="00072844"/>
    <w:rsid w:val="00092431"/>
    <w:rsid w:val="000A74AB"/>
    <w:rsid w:val="000C0B72"/>
    <w:rsid w:val="000E4C38"/>
    <w:rsid w:val="000E5278"/>
    <w:rsid w:val="000F3029"/>
    <w:rsid w:val="00136548"/>
    <w:rsid w:val="00145081"/>
    <w:rsid w:val="00175CDC"/>
    <w:rsid w:val="001A262C"/>
    <w:rsid w:val="001A7871"/>
    <w:rsid w:val="001B08BA"/>
    <w:rsid w:val="001C3186"/>
    <w:rsid w:val="001C37A8"/>
    <w:rsid w:val="00227D5A"/>
    <w:rsid w:val="00231B19"/>
    <w:rsid w:val="00253D05"/>
    <w:rsid w:val="00274B70"/>
    <w:rsid w:val="002A15D4"/>
    <w:rsid w:val="002C2E87"/>
    <w:rsid w:val="002D777B"/>
    <w:rsid w:val="002E077E"/>
    <w:rsid w:val="002E496C"/>
    <w:rsid w:val="002F7CCA"/>
    <w:rsid w:val="003F2276"/>
    <w:rsid w:val="00406059"/>
    <w:rsid w:val="004406DA"/>
    <w:rsid w:val="00452866"/>
    <w:rsid w:val="00452D9E"/>
    <w:rsid w:val="00454058"/>
    <w:rsid w:val="00460ED0"/>
    <w:rsid w:val="004C0B6C"/>
    <w:rsid w:val="004C577B"/>
    <w:rsid w:val="00514615"/>
    <w:rsid w:val="00574F5F"/>
    <w:rsid w:val="005C0F82"/>
    <w:rsid w:val="005C32A5"/>
    <w:rsid w:val="005C72DA"/>
    <w:rsid w:val="00616C4B"/>
    <w:rsid w:val="0062376D"/>
    <w:rsid w:val="00657DF2"/>
    <w:rsid w:val="006A5DF9"/>
    <w:rsid w:val="006B6B5A"/>
    <w:rsid w:val="006C39CA"/>
    <w:rsid w:val="006D2986"/>
    <w:rsid w:val="007513E5"/>
    <w:rsid w:val="007606CF"/>
    <w:rsid w:val="00774A86"/>
    <w:rsid w:val="00790155"/>
    <w:rsid w:val="007D0A3F"/>
    <w:rsid w:val="007E1132"/>
    <w:rsid w:val="007F09C1"/>
    <w:rsid w:val="008072E4"/>
    <w:rsid w:val="00865EDC"/>
    <w:rsid w:val="008748A6"/>
    <w:rsid w:val="00881696"/>
    <w:rsid w:val="008E46AA"/>
    <w:rsid w:val="00911AF4"/>
    <w:rsid w:val="00911B77"/>
    <w:rsid w:val="009126EE"/>
    <w:rsid w:val="00960075"/>
    <w:rsid w:val="009B1526"/>
    <w:rsid w:val="009E2A6B"/>
    <w:rsid w:val="00A460F0"/>
    <w:rsid w:val="00AC1CBE"/>
    <w:rsid w:val="00AC62D9"/>
    <w:rsid w:val="00AF11AE"/>
    <w:rsid w:val="00B61316"/>
    <w:rsid w:val="00B81FFB"/>
    <w:rsid w:val="00BA2441"/>
    <w:rsid w:val="00BB01F0"/>
    <w:rsid w:val="00BB2B04"/>
    <w:rsid w:val="00BB7D51"/>
    <w:rsid w:val="00BD72F2"/>
    <w:rsid w:val="00BF2C7D"/>
    <w:rsid w:val="00BF391A"/>
    <w:rsid w:val="00C309A1"/>
    <w:rsid w:val="00C45F03"/>
    <w:rsid w:val="00C51BEE"/>
    <w:rsid w:val="00C530C9"/>
    <w:rsid w:val="00C6539D"/>
    <w:rsid w:val="00C73030"/>
    <w:rsid w:val="00C92683"/>
    <w:rsid w:val="00CF5B71"/>
    <w:rsid w:val="00CF6CAA"/>
    <w:rsid w:val="00D966EB"/>
    <w:rsid w:val="00DB0F95"/>
    <w:rsid w:val="00DD5E0E"/>
    <w:rsid w:val="00E6635F"/>
    <w:rsid w:val="00EA43CA"/>
    <w:rsid w:val="00EB065A"/>
    <w:rsid w:val="00EB551F"/>
    <w:rsid w:val="00EE6D16"/>
    <w:rsid w:val="00F21C7E"/>
    <w:rsid w:val="00F25E04"/>
    <w:rsid w:val="00F31B6E"/>
    <w:rsid w:val="00F327EA"/>
    <w:rsid w:val="00F424C5"/>
    <w:rsid w:val="00F53E4E"/>
    <w:rsid w:val="00F80C70"/>
    <w:rsid w:val="00FD3EE0"/>
    <w:rsid w:val="00FD4032"/>
    <w:rsid w:val="00FE061D"/>
    <w:rsid w:val="0CCD55AD"/>
    <w:rsid w:val="135829E8"/>
    <w:rsid w:val="185E687C"/>
    <w:rsid w:val="26BD0323"/>
    <w:rsid w:val="288244BF"/>
    <w:rsid w:val="30DA7AA2"/>
    <w:rsid w:val="3A335EDE"/>
    <w:rsid w:val="3DED26C3"/>
    <w:rsid w:val="3F4213D3"/>
    <w:rsid w:val="41B20680"/>
    <w:rsid w:val="44B177A6"/>
    <w:rsid w:val="480E28BD"/>
    <w:rsid w:val="49B70AA1"/>
    <w:rsid w:val="4F81153F"/>
    <w:rsid w:val="546C27CA"/>
    <w:rsid w:val="5EDB5D17"/>
    <w:rsid w:val="5F8A5617"/>
    <w:rsid w:val="609747D7"/>
    <w:rsid w:val="659B68FA"/>
    <w:rsid w:val="65BD153A"/>
    <w:rsid w:val="68886C50"/>
    <w:rsid w:val="69256078"/>
    <w:rsid w:val="707C6639"/>
    <w:rsid w:val="70E10F53"/>
    <w:rsid w:val="7694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EA4CE"/>
  <w15:docId w15:val="{CBDCE43F-01D0-4D60-850C-2FC41D02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ody Text Indent"/>
    <w:basedOn w:val="a"/>
    <w:link w:val="a8"/>
    <w:pPr>
      <w:suppressAutoHyphens/>
      <w:ind w:firstLine="232"/>
      <w:textAlignment w:val="baseline"/>
    </w:pPr>
    <w:rPr>
      <w:rFonts w:ascii="ＭＳ 明朝" w:eastAsia="ＭＳ 明朝" w:hAnsi="ＭＳ 明朝" w:cs="Times New Roman"/>
      <w:kern w:val="0"/>
      <w:sz w:val="20"/>
      <w:szCs w:val="20"/>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4">
    <w:name w:val="日付 (文字)"/>
    <w:basedOn w:val="a0"/>
    <w:link w:val="a3"/>
    <w:uiPriority w:val="99"/>
    <w:semiHidden/>
    <w:qFormat/>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 w:type="character" w:customStyle="1" w:styleId="ac">
    <w:name w:val="ヘッダー (文字)"/>
    <w:basedOn w:val="a0"/>
    <w:link w:val="ab"/>
    <w:uiPriority w:val="99"/>
    <w:qFormat/>
  </w:style>
  <w:style w:type="character" w:customStyle="1" w:styleId="a6">
    <w:name w:val="フッター (文字)"/>
    <w:basedOn w:val="a0"/>
    <w:link w:val="a5"/>
    <w:uiPriority w:val="99"/>
    <w:qFormat/>
  </w:style>
  <w:style w:type="paragraph" w:customStyle="1" w:styleId="ad">
    <w:name w:val="附則"/>
    <w:basedOn w:val="a"/>
    <w:next w:val="a"/>
    <w:pPr>
      <w:suppressAutoHyphens/>
      <w:autoSpaceDE w:val="0"/>
      <w:ind w:left="696"/>
    </w:pPr>
    <w:rPr>
      <w:rFonts w:ascii="ＭＳ 明朝" w:eastAsia="ＭＳ 明朝" w:hAnsi="ＭＳ 明朝" w:cs="Times New Roman"/>
      <w:kern w:val="0"/>
      <w:sz w:val="20"/>
      <w:szCs w:val="20"/>
    </w:rPr>
  </w:style>
  <w:style w:type="character" w:customStyle="1" w:styleId="a8">
    <w:name w:val="本文インデント (文字)"/>
    <w:basedOn w:val="a0"/>
    <w:link w:val="a7"/>
    <w:rPr>
      <w:rFonts w:ascii="ＭＳ 明朝" w:eastAsia="ＭＳ 明朝" w:hAnsi="ＭＳ 明朝" w:cs="Times New Roman"/>
      <w:kern w:val="0"/>
      <w:sz w:val="20"/>
      <w:szCs w:val="20"/>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 一徳</dc:creator>
  <cp:lastModifiedBy>横澤 知弥</cp:lastModifiedBy>
  <cp:revision>2</cp:revision>
  <cp:lastPrinted>2021-08-26T06:16:00Z</cp:lastPrinted>
  <dcterms:created xsi:type="dcterms:W3CDTF">2025-03-31T07:23:00Z</dcterms:created>
  <dcterms:modified xsi:type="dcterms:W3CDTF">2025-03-31T07:23:00Z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